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270" w:rsidRPr="00007313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Государственное учреждение образования</w:t>
      </w:r>
    </w:p>
    <w:p w:rsidR="00D21270" w:rsidRPr="00007313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00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Пастовичская</w:t>
      </w:r>
      <w:proofErr w:type="spellEnd"/>
      <w:r w:rsidRPr="000073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школа»</w:t>
      </w:r>
    </w:p>
    <w:p w:rsidR="00D21270" w:rsidRP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Pr="005D0247" w:rsidRDefault="00D21270" w:rsidP="00D21270">
      <w:pPr>
        <w:spacing w:after="0" w:line="240" w:lineRule="auto"/>
        <w:jc w:val="center"/>
        <w:rPr>
          <w:rFonts w:ascii="Tahoma" w:eastAsia="Times New Roman" w:hAnsi="Tahoma" w:cs="Tahoma"/>
          <w:sz w:val="32"/>
          <w:szCs w:val="32"/>
          <w:lang w:eastAsia="ru-RU"/>
        </w:rPr>
      </w:pPr>
      <w:r w:rsidRPr="005D02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«Роль театра, кино и телевидения в формировании эстетических идеалов у старшеклассников»</w:t>
      </w: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Pr="00D12665" w:rsidRDefault="00D21270" w:rsidP="00D2127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 w:rsidRPr="00D2127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Консультация для родителей) </w:t>
      </w: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F5C89" w:rsidRDefault="003F5C89" w:rsidP="003F5C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06D9B">
        <w:rPr>
          <w:rFonts w:ascii="Times New Roman" w:hAnsi="Times New Roman" w:cs="Times New Roman"/>
          <w:sz w:val="28"/>
          <w:szCs w:val="28"/>
        </w:rPr>
        <w:t>Коврей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 xml:space="preserve"> И.К., </w:t>
      </w:r>
    </w:p>
    <w:p w:rsidR="003F5C89" w:rsidRPr="00706D9B" w:rsidRDefault="003F5C89" w:rsidP="003F5C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6D9B"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C89" w:rsidRPr="00706D9B" w:rsidRDefault="003F5C89" w:rsidP="003F5C8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Пасто</w:t>
      </w:r>
      <w:r w:rsidRPr="00706D9B">
        <w:rPr>
          <w:rFonts w:ascii="Times New Roman" w:hAnsi="Times New Roman" w:cs="Times New Roman"/>
          <w:sz w:val="28"/>
          <w:szCs w:val="28"/>
        </w:rPr>
        <w:t>вичи</w:t>
      </w:r>
      <w:proofErr w:type="spellEnd"/>
      <w:r w:rsidRPr="00706D9B">
        <w:rPr>
          <w:rFonts w:ascii="Times New Roman" w:hAnsi="Times New Roman" w:cs="Times New Roman"/>
          <w:sz w:val="28"/>
          <w:szCs w:val="28"/>
        </w:rPr>
        <w:t>, 2022</w:t>
      </w: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21270" w:rsidRDefault="00D21270" w:rsidP="00D12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12665" w:rsidRPr="005D0247" w:rsidRDefault="00D12665" w:rsidP="00D1266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bookmarkStart w:id="0" w:name="_GoBack"/>
      <w:bookmarkEnd w:id="0"/>
      <w:r w:rsidRPr="005D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КОНСУЛЬТАЦИЯ</w:t>
      </w:r>
    </w:p>
    <w:p w:rsidR="00D12665" w:rsidRPr="005D0247" w:rsidRDefault="00D12665" w:rsidP="00D12665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«Роль театра, кино и телевидения в формировании эстетических идеалов у старшеклассников»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Цель: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актуализация воспитательного воздействия средств визуальной коммуникации на нравственное сознание и поведение подростков.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проанализировать воспитательное влияние средств визуальной коммуникации на нравственное сознание и поведение подростка; изучить и обобщить позитивные и негативные тенденции воспитательного воздействия СМИ на подростков; рассмотреть положительное воздействие средств визуальной коммуникации на учебную деятельность и поведение подростков; разработать педагогические меры по нейтрализации и предотвращению негативного воспитательного влияния СМИ на подростков.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XXI века живет в медиа-пространстве, которое составляет его новую среду обитания, реальность современной культуры. Средства массовой коммуникации проникли во все сферы жизни. Медиа стали основным средством производства современной культуры, а не только передаточным механизмом.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Информационный бум, ставший реальностью жизни общества в последние десять лет, привел, с одной стороны, к включению страны в глобальное информационное пространство, являющееся одним из важнейших компонентов современной цивилизации, а с другой - стал одним из важнейших факторов в формировании личностных характеристик школьника, среди которых немалую роль играют эстетические представления и ценности.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первых лет своей жизни ребенок попадает в информационное поле, создаваемое сетью массовых коммуникаций, которые включают все виды средств массовой информации, функционирующие в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глобализированном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культурном пространстве, в информационном поле, созданном при помощи новых технологий и объединяющем в себе социокультурные значения его разнородных компонентов. В связи с этим возникает проблема взаимовлияния информационной среды (в частности телевидения как ее важнейшего компонента) и структуры ценностных ориентаций детей как социального агента. Данное отношение среды и субъекта имеет противоречивый характер, что объясняется сложной структурой его составляющих.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Так, с одной стороны, коммерциализация телевидения приводит к преобладанию насилия, секса, рекламы. С другой стороны, появляется множество образовательных программ, видеоматериалов, развивающих игр и программ, оказывающих помощь как в образовании, воспитании, так и в расширении кругозора, открывая совершенно новые горизонты знания.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Влияние телевидения на многие аспекты повседневности, в частности на формирование эстетических вкусов и представлений, определяется во многом тем, что в отличие от других видов масс медиа оно представляет собой часть домашней обстановки; (в этом оно гораздо ближе радио, чем кино). Этот факт сам по себе весьма амбивалентен и по-разному оценивается с разных исследовательских позиций. Наиболее сильный эффект телевидения, кроме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его собственно содержательной стороны, </w:t>
      </w:r>
      <w:r w:rsidR="005D0247" w:rsidRPr="005B155D">
        <w:rPr>
          <w:color w:val="000000"/>
          <w:sz w:val="28"/>
          <w:szCs w:val="28"/>
        </w:rPr>
        <w:t xml:space="preserve">–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сам факт его существования, его всегда доступное, главенствующее ставшее привычным присутствие в каждом доме, его способность свести сотни миллионов граждан до уровня пассивных зрителей в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течение большей части их жизни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Телевидение сводит до минимума личностные взаимодействия внутри семьи и сообщества. Один источник информации может передавать имиджи и точки зрения непосредственно миллионам умов, затрудняя для людей отделение реального от нереального, умиротворяя и мобилизуя их, фрагментируя их восприятие, притупляя их воображение и критические суждения,</w:t>
      </w:r>
      <w:r w:rsidRPr="005D024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укорачивая промежутки внимательного восприятия, понижая вкус к разумному публичному и частному дискурсу. По мнению Дж.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Мейровитца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коммерческое телевидение порождает новизну, чтобы выжить. Без странного, нового, неизвестного аудитории сократились бы очень сильно. Именно поэтому телевидение выставляет напоказ то, что в других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медиаструктурах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ост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ается скрытым или малоизвестным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исследователи телевидения, занимающие в отношении его критическую позицию, отмечают, что само по себе оно не обладает выс</w:t>
      </w:r>
      <w:r w:rsid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оким эстетическим потенциалом.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Использование всех пяти указанных выше каналов коммуникации одновременно объясняет низкий статус телевидения как эстетического текста. Высокая степень повторяемости и дублирования, которая существует между звуковым и образным рядом и между сегментами на общем уровне как серийность, которая является определяющей формой телевидения.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Низкий эстетический статус телевидения объясняется У. Эко таким образом: Этот избыток предназначенного для удовольствия, повторения, отсутствия инновации ощущается как коммерческий прием, при помощи которого продукт мог бы соответствовать ожиданиям аудитории, а не как провоцирующее предложение нового и трудного для восприятия мировидения.</w:t>
      </w:r>
    </w:p>
    <w:p w:rsidR="0096428E" w:rsidRPr="005D0247" w:rsidRDefault="00D12665" w:rsidP="00765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Продукты масс медиа приравниваются многими исследователями, критически настроенными по отноше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нию к </w:t>
      </w:r>
      <w:proofErr w:type="spellStart"/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медиа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 промышленным продуктам постольку, поскольку они производятся сериями, а серийное производство традиционно рассматривается как чуждое художественному творчеству. Однако такое отрицание эстетического потенциала телевидения не учитывает той специфической эстетики, которая в корне отличается от традиционной и требует новых исследовательских подходов. Одним из распространенных в последние десятилетия методов исследования телевидения является семиотический подход, знакового производства. </w:t>
      </w:r>
    </w:p>
    <w:p w:rsidR="00D12665" w:rsidRPr="005D0247" w:rsidRDefault="00D12665" w:rsidP="00765399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 многом семиотика оказывается более эффективным средством анализа новых форм искусства, связанных с технологиями массового репродуцирования </w:t>
      </w:r>
      <w:r w:rsidR="005D0247" w:rsidRPr="005B155D">
        <w:rPr>
          <w:color w:val="000000"/>
          <w:sz w:val="28"/>
          <w:szCs w:val="28"/>
        </w:rPr>
        <w:t xml:space="preserve">–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кино, телевидением, фотографией и т.д., чем традиционные для эстетики подходы, В то же время, этот подход не может быть рассмотрен как единственный, так как семиотика дает эффективный способ описания акта продуцирования значения в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видеожанрах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но,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ограничивая себя текстом, она оказывается малоэффективной стратегией в целом, поскольку не может объяснить экономику, производство, историю и аудиторию.</w:t>
      </w:r>
      <w:r w:rsidR="00765399" w:rsidRPr="005D0247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Несомненно, наличие связи между телепередачами, видеофильмами, видеоиграми, популярными в молодежной среде и социокультурными доминантами. Через телевидение внедряются ценности и модели поведения, санкционируемые или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несанкционируемые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обществом, взаимное влияние структур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видеокультуры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доминирующих ценностей молодежной среды.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Наряду с фрагментацией содержательной стороны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видеокультуры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глобализация сети информационных технологий, в которую постепенно включаются, ассимилируются, адаптируются отечественные структуры СМИ. Соотношение детских, информационных, спортивных, художественных программ, кинофильмов практически такое же, как в Европе. Удельный вес политических программ продолжает оставаться несколько больше.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Именно разрыв преемственности поколений и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дезориентированность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разлом привычных социальных связей приводит к трансформации имиджа насилия как наиболее эффективного социального инструмента в способ достижения реальной жизненной цели.</w:t>
      </w:r>
      <w:r w:rsidRPr="005D024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развитых странах Запада, послуживших моделью для наших отечественных масс медиа, тема насилия давно вызывает серьезное беспокойство, как со стороны институтов государства, так и широкой общественности.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Широко известны данные о насыщенности СМИ актами агрессии, насилия, жестокости. Так, в мультипликационных фильмах, которые показывает по утрам американское телевидение, дети видят акт насилия каждые две минуты. Именно эта продукция вытеснила традиционных героев отечественных мультфильмов </w:t>
      </w:r>
      <w:r w:rsidR="007F3298" w:rsidRPr="005B155D">
        <w:rPr>
          <w:color w:val="000000"/>
          <w:sz w:val="28"/>
          <w:szCs w:val="28"/>
        </w:rPr>
        <w:t xml:space="preserve">–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Крошку Енота, Волка, Кота Леопольда и т.д. К моменту окончания школы молодые американцы становятся свидетелями в среднем 18 тысяч телевизионных убийств. Наша видеопродукция приближается к этой ситуации по причине весьма тенденциозного отбора программ и фильмов, неразборчивого копирования далеко не первоклассной продукции.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Криминальная хроника занимает одно из ведущих мест в тематике современного телевидения. По проценту отведенного на это эфирного времени - второе место после рекламы. Бесконечный показ или описание трупов, перестрелок, ограблений и т.д. Уже перестает казаться чем-то чрезвычайным и воспринимается просто как зрелище или увлекательное чтение.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Трудно отрицать формирующую роль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видеокультуры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современном мире с его избыточной медиатизацией. Создается новый тип телезрителя, который разделяет отношение видео среды к событиям прошлого и настоящего как к бесконечному резервуару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равнозначимых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событий. На основании вышесказанного можно сделать некоторые выводы, выявить основные тенденции и перспективы в отношении воздействия телевидения на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культурное бытие, на духовную жизнь, на эстетический мир современной молодежи:</w:t>
      </w:r>
    </w:p>
    <w:p w:rsidR="00D12665" w:rsidRPr="005D0247" w:rsidRDefault="00D12665" w:rsidP="00D1266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От просвещения к регрессу.</w:t>
      </w:r>
    </w:p>
    <w:p w:rsidR="00765399" w:rsidRPr="005D0247" w:rsidRDefault="00D12665" w:rsidP="007653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Статус образовательных программ в нашей стране за последние 30 лет показывает тенденцию к снижению, предпочтения публики за эти годы менялись, переходя от образовательных передач и новостей к развлекательным, особенно тем, которые ранее были недоступны по политическим или экономическим причинам. В результате на сегодняшний день происходит перенасыщение этой продукцией, значительная часть которой адресована непосредственно молодежи. Все более явно обнаруживается тенденция к приватизации жизни человека, все большее значение приобретают ценности благосостояния, потребления, которые трудно однозначно </w:t>
      </w:r>
      <w:proofErr w:type="gram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</w:t>
      </w:r>
      <w:proofErr w:type="gram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относящиеся к духовной или материальной сферам.</w:t>
      </w:r>
    </w:p>
    <w:p w:rsidR="00D12665" w:rsidRPr="005D0247" w:rsidRDefault="00D12665" w:rsidP="0076539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Отмеченное возрастание потребительских тенденций в среде молодежи отражает определенные формообразующие моменты ее духовной культуры. Данные социологических исследований показывают, что уровень духовной культуры, интерес к</w:t>
      </w:r>
      <w:r w:rsidRPr="005D0247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ней достаточно низок у значительной части молодых людей, в то время как преобладает ориентация на материальные ценности.</w:t>
      </w:r>
    </w:p>
    <w:p w:rsidR="00D12665" w:rsidRPr="005D0247" w:rsidRDefault="00D12665" w:rsidP="00D12665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Снижение популярности традиционных видов СМИ.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последнее время наблюдается снижение интереса молодежи к различным каналам (пресса, радио, телевидение) массовой информации. </w:t>
      </w:r>
    </w:p>
    <w:p w:rsidR="00D12665" w:rsidRPr="005D0247" w:rsidRDefault="00D12665" w:rsidP="00D12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Инновации в видео культуре и модернизация технологий 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Стирание границ, амортизация жанров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Тенденцией в подаче мате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риала на телевидении, является «смешение»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жанров, стирание граней между реальными событиями и беллетризованными фактами. Молодежная аудитория с трудом может отличить реальные событии от мнимых, которые подаются в реалистической манере. 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б) Технологическая модернизация среды В последние годы наблюдается тенденция к нарастанию скорости распространения видеопродукции, что отражает динамику изменений в технологиях </w:t>
      </w:r>
      <w:proofErr w:type="spell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видеокультуры</w:t>
      </w:r>
      <w:proofErr w:type="spell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особенно ярко проявляющуюся в контексте так называемых либеральных демократий западного мира.</w:t>
      </w:r>
    </w:p>
    <w:p w:rsidR="00D12665" w:rsidRPr="005D0247" w:rsidRDefault="00D12665" w:rsidP="00765399">
      <w:pPr>
        <w:spacing w:after="0" w:line="240" w:lineRule="auto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Изменение структуры досуга и проблемы воспитания</w:t>
      </w:r>
      <w:r w:rsidR="00765399"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сферы видео культуры ведет к изменению структуры досуга подростков и молодежи. Если еще в недавнем прошлом большую роль как в социализации, так и в воспитании творческой активности и духовно-эстетических качеств молодого поколения играли учреждения культуры, то с середины 80-х гг. стали возрастать возможности удовлетворения культурных потребностей в домашних условиях, а ко второй половине 80-хгг</w:t>
      </w:r>
      <w:proofErr w:type="gram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изменившиеся жизненные условия придали свободному времени рекреационный характер.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Выводы: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Человек ежедневно получает огромное количество информации, достоверной и недостоверной, порой очень противоречивой. Но </w:t>
      </w: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именно это и дает человеку возможность проанализировать, сравнить эту информацию, критически осмыслить и сделать осознанный выбор.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СМИ оказывают на человека противоречивое влияние, приносят пользу и наносят вред. Современный человек не может отказаться от информации, получаемой через СМИ. Но любую информацию человек должен критически осмысливать и определять, что для него полезно, а что нет, каким примерам следовать, чему можно подражать, а чему нельзя.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Воздействие средств визуальной коммуникации на процесс нравственного развития подростка и его социализации </w:t>
      </w:r>
      <w:proofErr w:type="gramStart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быть</w:t>
      </w:r>
      <w:proofErr w:type="gramEnd"/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положительным, так и отрицательным.</w:t>
      </w:r>
    </w:p>
    <w:p w:rsidR="00D12665" w:rsidRPr="005D0247" w:rsidRDefault="00D12665" w:rsidP="00D1266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111111"/>
          <w:sz w:val="28"/>
          <w:szCs w:val="28"/>
          <w:lang w:eastAsia="ru-RU"/>
        </w:rPr>
      </w:pPr>
      <w:r w:rsidRPr="005D02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объединении воспитательных усилий школы, семьи и общественных организаций, занимающихся данной проблемой, станет возможным усиление положительного воспитательного потенциала и нейтрализация негативного влияния теле- и видеопродукции на подростков, особенно на школьников, имеющих отрицательный опыт нравственного поведения и асоциальную направленность.</w:t>
      </w:r>
    </w:p>
    <w:p w:rsidR="00B32E1C" w:rsidRPr="005D0247" w:rsidRDefault="00B32E1C">
      <w:pPr>
        <w:rPr>
          <w:sz w:val="28"/>
          <w:szCs w:val="28"/>
        </w:rPr>
      </w:pPr>
    </w:p>
    <w:sectPr w:rsidR="00B32E1C" w:rsidRPr="005D0247" w:rsidSect="00D12665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3F7" w:rsidRDefault="00B063F7" w:rsidP="00D12665">
      <w:pPr>
        <w:spacing w:after="0" w:line="240" w:lineRule="auto"/>
      </w:pPr>
      <w:r>
        <w:separator/>
      </w:r>
    </w:p>
  </w:endnote>
  <w:endnote w:type="continuationSeparator" w:id="0">
    <w:p w:rsidR="00B063F7" w:rsidRDefault="00B063F7" w:rsidP="00D1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337942"/>
      <w:docPartObj>
        <w:docPartGallery w:val="Page Numbers (Bottom of Page)"/>
        <w:docPartUnique/>
      </w:docPartObj>
    </w:sdtPr>
    <w:sdtEndPr/>
    <w:sdtContent>
      <w:p w:rsidR="00D12665" w:rsidRDefault="00D12665" w:rsidP="00D126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C89">
          <w:rPr>
            <w:noProof/>
          </w:rPr>
          <w:t>6</w:t>
        </w:r>
        <w:r>
          <w:fldChar w:fldCharType="end"/>
        </w:r>
      </w:p>
    </w:sdtContent>
  </w:sdt>
  <w:p w:rsidR="00D12665" w:rsidRDefault="00D126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3F7" w:rsidRDefault="00B063F7" w:rsidP="00D12665">
      <w:pPr>
        <w:spacing w:after="0" w:line="240" w:lineRule="auto"/>
      </w:pPr>
      <w:r>
        <w:separator/>
      </w:r>
    </w:p>
  </w:footnote>
  <w:footnote w:type="continuationSeparator" w:id="0">
    <w:p w:rsidR="00B063F7" w:rsidRDefault="00B063F7" w:rsidP="00D126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39"/>
    <w:rsid w:val="00007313"/>
    <w:rsid w:val="003F5C89"/>
    <w:rsid w:val="00480639"/>
    <w:rsid w:val="005D0247"/>
    <w:rsid w:val="00744F21"/>
    <w:rsid w:val="00765399"/>
    <w:rsid w:val="00784965"/>
    <w:rsid w:val="007F3298"/>
    <w:rsid w:val="0096428E"/>
    <w:rsid w:val="00B063F7"/>
    <w:rsid w:val="00B32E1C"/>
    <w:rsid w:val="00D12665"/>
    <w:rsid w:val="00D21270"/>
    <w:rsid w:val="00E0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CDB"/>
  <w15:chartTrackingRefBased/>
  <w15:docId w15:val="{9EE9FE4E-F08A-4F06-BC7A-AF8A0633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2665"/>
  </w:style>
  <w:style w:type="paragraph" w:styleId="a5">
    <w:name w:val="footer"/>
    <w:basedOn w:val="a"/>
    <w:link w:val="a6"/>
    <w:uiPriority w:val="99"/>
    <w:unhideWhenUsed/>
    <w:rsid w:val="00D12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2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8</cp:revision>
  <dcterms:created xsi:type="dcterms:W3CDTF">2022-02-23T09:33:00Z</dcterms:created>
  <dcterms:modified xsi:type="dcterms:W3CDTF">2022-02-23T10:44:00Z</dcterms:modified>
</cp:coreProperties>
</file>